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left"/>
        <w:rPr>
          <w:rFonts w:hint="eastAsia" w:ascii="黑体" w:hAnsi="黑体" w:eastAsia="黑体" w:cs="黑体"/>
          <w:b w:val="0"/>
          <w:bCs/>
          <w:sz w:val="32"/>
          <w:szCs w:val="32"/>
          <w:lang w:val="en-US" w:eastAsia="zh-CN"/>
        </w:rPr>
      </w:pPr>
      <w:bookmarkStart w:id="0" w:name="_GoBack"/>
      <w:bookmarkEnd w:id="0"/>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2：</w:t>
      </w:r>
    </w:p>
    <w:p>
      <w:pPr>
        <w:spacing w:line="440" w:lineRule="exact"/>
        <w:jc w:val="left"/>
        <w:rPr>
          <w:rFonts w:hint="eastAsia" w:ascii="黑体" w:hAnsi="黑体" w:eastAsia="黑体" w:cs="黑体"/>
          <w:b w:val="0"/>
          <w:bCs/>
          <w:sz w:val="32"/>
          <w:szCs w:val="32"/>
          <w:lang w:val="en-US" w:eastAsia="zh-CN"/>
        </w:rPr>
      </w:pPr>
    </w:p>
    <w:p>
      <w:pPr>
        <w:spacing w:line="360" w:lineRule="auto"/>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厦门市“食安斗阵行”系列活动</w:t>
      </w:r>
    </w:p>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福建省厦门市市场监管局</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kern w:val="28"/>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kern w:val="28"/>
          <w:sz w:val="32"/>
          <w:szCs w:val="32"/>
          <w:lang w:eastAsia="zh-CN"/>
        </w:rPr>
      </w:pPr>
      <w:r>
        <w:rPr>
          <w:rFonts w:hint="eastAsia" w:ascii="宋体" w:hAnsi="宋体"/>
          <w:b/>
          <w:bCs/>
          <w:kern w:val="28"/>
          <w:sz w:val="32"/>
          <w:szCs w:val="32"/>
        </w:rPr>
        <w:t>案例简介</w:t>
      </w:r>
      <w:r>
        <w:rPr>
          <w:rFonts w:hint="eastAsia" w:ascii="宋体" w:hAnsi="宋体"/>
          <w:b/>
          <w:bCs/>
          <w:kern w:val="28"/>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bCs/>
          <w:sz w:val="32"/>
          <w:szCs w:val="32"/>
        </w:rPr>
      </w:pPr>
      <w:r>
        <w:rPr>
          <w:rFonts w:hint="eastAsia" w:ascii="仿宋" w:hAnsi="仿宋" w:eastAsia="仿宋"/>
          <w:bCs/>
          <w:sz w:val="32"/>
          <w:szCs w:val="32"/>
        </w:rPr>
        <w:t>厦门市“食安斗阵行”系列活动是厦门市食安办（市市场监管局）创设的食品安全多元化社会共治新模式，通过邀请公众全方位、多层次地参与食品安全民意征集、执法检查、宣传活动，推动全社会形成食品安全“人人参与、人人尽力、人人享有”的共治格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bCs/>
          <w:sz w:val="32"/>
          <w:szCs w:val="32"/>
        </w:rPr>
      </w:pPr>
      <w:r>
        <w:rPr>
          <w:rFonts w:hint="eastAsia" w:ascii="仿宋" w:hAnsi="仿宋" w:eastAsia="仿宋"/>
          <w:bCs/>
          <w:sz w:val="32"/>
          <w:szCs w:val="32"/>
        </w:rPr>
        <w:t>“斗阵行”是一句厦门市民耳熟能详的闽南语，字面意思是“一起走”，在闽南语义中，还有团结一心去做一件事的意思，以接地气的语言，来赋予活动更多的亲和力和感召力，充分调动群众参与食品安全治理的积极性、主动性。系列活动包括：“月月十五查餐厅”“直击网红店”“幸福社区总动员”“食安科普校园走透透”“食品安全你点我检”“十佳食安卫士评选”“食安专家面对面”“食安小红帽”</w:t>
      </w:r>
      <w:r>
        <w:rPr>
          <w:rFonts w:hint="eastAsia" w:ascii="仿宋" w:hAnsi="仿宋" w:eastAsia="仿宋"/>
          <w:sz w:val="32"/>
          <w:szCs w:val="32"/>
        </w:rPr>
        <w:t>“你挑毛病我付钱”</w:t>
      </w:r>
      <w:r>
        <w:rPr>
          <w:rFonts w:hint="eastAsia" w:ascii="仿宋" w:hAnsi="仿宋" w:eastAsia="仿宋"/>
          <w:bCs/>
          <w:sz w:val="32"/>
          <w:szCs w:val="32"/>
        </w:rPr>
        <w:t>等十二大举措。</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kern w:val="28"/>
          <w:sz w:val="32"/>
          <w:szCs w:val="32"/>
          <w:lang w:eastAsia="zh-CN"/>
        </w:rPr>
      </w:pPr>
      <w:r>
        <w:rPr>
          <w:rFonts w:hint="eastAsia" w:ascii="宋体" w:hAnsi="宋体"/>
          <w:b/>
          <w:bCs/>
          <w:kern w:val="28"/>
          <w:sz w:val="32"/>
          <w:szCs w:val="32"/>
          <w:lang w:eastAsia="zh-CN"/>
        </w:rPr>
        <w:t>【</w:t>
      </w:r>
      <w:r>
        <w:rPr>
          <w:rFonts w:hint="eastAsia" w:ascii="宋体" w:hAnsi="宋体"/>
          <w:b/>
          <w:bCs/>
          <w:kern w:val="28"/>
          <w:sz w:val="32"/>
          <w:szCs w:val="32"/>
        </w:rPr>
        <w:t>背景</w:t>
      </w:r>
      <w:r>
        <w:rPr>
          <w:rFonts w:hint="eastAsia" w:ascii="宋体" w:hAnsi="宋体"/>
          <w:b/>
          <w:bCs/>
          <w:kern w:val="28"/>
          <w:sz w:val="32"/>
          <w:szCs w:val="32"/>
          <w:lang w:eastAsia="zh-CN"/>
        </w:rPr>
        <w:t>与</w:t>
      </w:r>
      <w:r>
        <w:rPr>
          <w:rFonts w:hint="eastAsia" w:ascii="宋体" w:hAnsi="宋体"/>
          <w:b/>
          <w:bCs/>
          <w:kern w:val="28"/>
          <w:sz w:val="32"/>
          <w:szCs w:val="32"/>
        </w:rPr>
        <w:t>起因</w:t>
      </w:r>
      <w:r>
        <w:rPr>
          <w:rFonts w:hint="eastAsia" w:ascii="宋体" w:hAnsi="宋体"/>
          <w:b/>
          <w:bCs/>
          <w:kern w:val="28"/>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color w:val="000000"/>
          <w:sz w:val="32"/>
          <w:szCs w:val="32"/>
          <w:shd w:val="clear" w:color="auto" w:fill="FFFFFF"/>
        </w:rPr>
      </w:pPr>
      <w:r>
        <w:rPr>
          <w:rFonts w:hint="eastAsia" w:ascii="仿宋" w:hAnsi="仿宋" w:eastAsia="仿宋"/>
          <w:sz w:val="32"/>
          <w:szCs w:val="32"/>
        </w:rPr>
        <w:t>民以食为天，食以安为先。每一个人都是食品安全的利益攸关方，食品安全治理具有最广泛的群众基础。因此，必须发动社会各界力量参与食品安全工作，积极探索</w:t>
      </w:r>
      <w:r>
        <w:rPr>
          <w:rFonts w:hint="eastAsia" w:ascii="仿宋_GB2312" w:hAnsi="宋体" w:eastAsia="仿宋_GB2312" w:cs="仿宋_GB2312"/>
          <w:color w:val="000000"/>
          <w:sz w:val="32"/>
          <w:szCs w:val="32"/>
          <w:shd w:val="clear" w:color="auto" w:fill="FFFFFF"/>
        </w:rPr>
        <w:t>构筑政府主导、社会参与的食品安全共建共治共享治理体系，才能</w:t>
      </w:r>
      <w:r>
        <w:rPr>
          <w:rFonts w:hint="eastAsia" w:ascii="仿宋" w:hAnsi="仿宋" w:eastAsia="仿宋"/>
          <w:sz w:val="32"/>
          <w:szCs w:val="32"/>
        </w:rPr>
        <w:t>让食品安全不断满足人民群众对美好生活的期待</w:t>
      </w:r>
      <w:r>
        <w:rPr>
          <w:rFonts w:hint="eastAsia" w:ascii="仿宋_GB2312" w:hAnsi="宋体" w:eastAsia="仿宋_GB2312" w:cs="仿宋_GB2312"/>
          <w:color w:val="000000"/>
          <w:sz w:val="32"/>
          <w:szCs w:val="32"/>
          <w:shd w:val="clear" w:color="auto" w:fill="FFFFFF"/>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bCs/>
          <w:sz w:val="32"/>
          <w:szCs w:val="32"/>
        </w:rPr>
      </w:pPr>
      <w:r>
        <w:rPr>
          <w:rFonts w:hint="eastAsia" w:ascii="仿宋_GB2312" w:hAnsi="宋体" w:eastAsia="仿宋_GB2312" w:cs="仿宋_GB2312"/>
          <w:color w:val="000000"/>
          <w:sz w:val="32"/>
          <w:szCs w:val="32"/>
          <w:shd w:val="clear" w:color="auto" w:fill="FFFFFF"/>
        </w:rPr>
        <w:t>2015年9月，国务院食安办将厦门列为第二批国家食品安全示范城市创建试点单位，明确社会认可、群众满意是衡量创城工作重要的否决项指标，要求创建城市食品安全群众满意度必须超过70%、创城知晓率超过75%、满意率超过85%。如何有效提升群众食品安全满意度，确保创建成效与群众期待一致，成为摆在监管部门面前的一大课题。从</w:t>
      </w:r>
      <w:r>
        <w:rPr>
          <w:rFonts w:hint="eastAsia" w:ascii="仿宋" w:hAnsi="仿宋" w:eastAsia="仿宋"/>
          <w:sz w:val="32"/>
          <w:szCs w:val="32"/>
        </w:rPr>
        <w:t>2016年福建省食安委委托第三方机构做的一项民意调查结果来看，厦门当年的食品安全群众满意度是65.4%（2018年提升到87.6%），但群众对政府采取措施改善食品安全的满意度高达96%。这个数据反映出，虽然当时市民群众对厦门市食品安全现状满意度评价还不算高，但对政府在食品安全方面所做的努力却非常支持和认可，这就是推动社会共治的强大民意基础。为了让高支持率拉动满意率，市食安办考虑搭建一个社会共治平台，让群众参与进来，</w:t>
      </w:r>
      <w:r>
        <w:rPr>
          <w:rFonts w:ascii="仿宋" w:hAnsi="仿宋" w:eastAsia="仿宋"/>
          <w:sz w:val="32"/>
          <w:szCs w:val="32"/>
        </w:rPr>
        <w:t>倾听民意、</w:t>
      </w:r>
      <w:r>
        <w:rPr>
          <w:rFonts w:hint="eastAsia" w:ascii="仿宋" w:hAnsi="仿宋" w:eastAsia="仿宋"/>
          <w:sz w:val="32"/>
          <w:szCs w:val="32"/>
        </w:rPr>
        <w:t>发动民力，进而赢得民心，实现食品安全社会治理为民惠民的工作目标，这也成为创设“食安斗阵行”系列活动的初衷。</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kern w:val="28"/>
          <w:sz w:val="32"/>
          <w:szCs w:val="32"/>
        </w:rPr>
      </w:pPr>
      <w:r>
        <w:rPr>
          <w:rFonts w:hint="eastAsia" w:ascii="宋体" w:hAnsi="宋体"/>
          <w:kern w:val="28"/>
          <w:sz w:val="32"/>
          <w:szCs w:val="32"/>
        </w:rPr>
        <w:t>【</w:t>
      </w:r>
      <w:r>
        <w:rPr>
          <w:rFonts w:hint="eastAsia" w:ascii="宋体" w:hAnsi="宋体"/>
          <w:b/>
          <w:bCs/>
          <w:kern w:val="28"/>
          <w:sz w:val="32"/>
          <w:szCs w:val="32"/>
          <w:lang w:eastAsia="zh-CN"/>
        </w:rPr>
        <w:t>做法与经过</w:t>
      </w:r>
      <w:r>
        <w:rPr>
          <w:rFonts w:hint="eastAsia" w:ascii="宋体" w:hAnsi="宋体"/>
          <w:kern w:val="28"/>
          <w:sz w:val="32"/>
          <w:szCs w:val="32"/>
        </w:rPr>
        <w:t>】</w:t>
      </w:r>
    </w:p>
    <w:p>
      <w:pPr>
        <w:keepNext w:val="0"/>
        <w:keepLines w:val="0"/>
        <w:pageBreakBefore w:val="0"/>
        <w:numPr>
          <w:ilvl w:val="0"/>
          <w:numId w:val="1"/>
        </w:numPr>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is-IS"/>
        </w:rPr>
        <w:t>坚持</w:t>
      </w:r>
      <w:r>
        <w:rPr>
          <w:rFonts w:hint="eastAsia" w:ascii="黑体" w:hAnsi="黑体" w:eastAsia="黑体" w:cs="黑体"/>
          <w:b w:val="0"/>
          <w:bCs w:val="0"/>
          <w:spacing w:val="8"/>
          <w:sz w:val="32"/>
          <w:szCs w:val="32"/>
          <w:shd w:val="clear" w:color="auto" w:fill="FFFFFF"/>
        </w:rPr>
        <w:t>创新理念，广泛凝聚社会共识</w:t>
      </w:r>
    </w:p>
    <w:p>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eastAsia" w:ascii="仿宋" w:hAnsi="仿宋" w:eastAsia="仿宋" w:cs="仿宋"/>
          <w:spacing w:val="8"/>
          <w:sz w:val="32"/>
          <w:szCs w:val="32"/>
          <w:shd w:val="clear" w:color="auto" w:fill="FFFFFF"/>
        </w:rPr>
      </w:pPr>
      <w:r>
        <w:rPr>
          <w:rFonts w:hint="eastAsia" w:ascii="仿宋" w:hAnsi="仿宋" w:eastAsia="仿宋" w:cs="仿宋"/>
          <w:spacing w:val="8"/>
          <w:sz w:val="32"/>
          <w:szCs w:val="32"/>
          <w:shd w:val="clear" w:color="auto" w:fill="FFFFFF"/>
        </w:rPr>
        <w:t>理念是行动的先导。构建食品安全共建共治共享治理体系，首先，要改变以往单靠食品安全监管部门单打独斗的观念，解决好群众缺乏渠道参与食品安全监督、食品安全科普水平不高，或认为食品安全就是政府部门责任等问题，把食品安全由“人人有关”变成“人人有责”。</w:t>
      </w:r>
    </w:p>
    <w:p>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eastAsia" w:ascii="仿宋" w:hAnsi="仿宋" w:eastAsia="仿宋" w:cs="仿宋"/>
          <w:spacing w:val="8"/>
          <w:sz w:val="32"/>
          <w:szCs w:val="32"/>
          <w:shd w:val="clear" w:color="auto" w:fill="FFFFFF"/>
        </w:rPr>
      </w:pPr>
      <w:r>
        <w:rPr>
          <w:rFonts w:hint="eastAsia" w:ascii="仿宋" w:hAnsi="仿宋" w:eastAsia="仿宋" w:cs="仿宋"/>
          <w:spacing w:val="8"/>
          <w:sz w:val="32"/>
          <w:szCs w:val="32"/>
          <w:shd w:val="clear" w:color="auto" w:fill="FFFFFF"/>
        </w:rPr>
        <w:t>为此，厦门市委、市政府提出建立完善食品安全“五主”责任体系实施意见，着力打造“党政主抓、部门主管、企业主体、主官主责、人人主人”的社会共治格局，其中的“人人主人”就是号召公民个人、群众团体、社会组织都积极参与食品安全治理，通过舆论引导、举报投诉、志愿者行动、行业自律等多方面努力，推动食品安全社会共治格局进一步完善，这也成为了“食安斗阵行”系列活动的重要指导方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bCs/>
          <w:sz w:val="32"/>
          <w:szCs w:val="32"/>
        </w:rPr>
      </w:pPr>
      <w:r>
        <w:rPr>
          <w:rFonts w:hint="eastAsia" w:ascii="仿宋" w:hAnsi="仿宋" w:eastAsia="仿宋"/>
          <w:bCs/>
          <w:sz w:val="32"/>
          <w:szCs w:val="32"/>
        </w:rPr>
        <w:t>为有效提高市民群众对食安创城的知晓率、支持率和满意率，市食安办主动将监管、宣传思路由单向传递转变为双向交流、职能宣传转变为与民互动，打造具有地方特色的“食安斗阵行”系列活动，丰富治理手段，提升治理成效，让群众多角度、深层次体验和感受食品安全监管工作的全过程。</w:t>
      </w:r>
      <w:r>
        <w:rPr>
          <w:rFonts w:hint="eastAsia" w:ascii="仿宋" w:hAnsi="仿宋" w:eastAsia="仿宋"/>
          <w:sz w:val="32"/>
          <w:szCs w:val="32"/>
        </w:rPr>
        <w:t>“斗阵行”是闽南方言，字面意思是“一起走”，但在闽南语义中，还带有一层感情色彩，即呼朋唤友、摩拳擦掌、团结一心去做一件事。市食安办采用这样一个贴合地方特色、接地气的群众性语言，赋予这项活动更多的亲和力和感召力，凝聚起民意的“最大公约数”，转化为食品安全治理的强大动力</w:t>
      </w:r>
      <w:r>
        <w:rPr>
          <w:rFonts w:hint="eastAsia" w:ascii="仿宋" w:hAnsi="仿宋" w:eastAsia="仿宋"/>
          <w:bCs/>
          <w:sz w:val="32"/>
          <w:szCs w:val="32"/>
        </w:rPr>
        <w:t>。</w:t>
      </w:r>
    </w:p>
    <w:p>
      <w:pPr>
        <w:keepNext w:val="0"/>
        <w:keepLines w:val="0"/>
        <w:pageBreakBefore w:val="0"/>
        <w:numPr>
          <w:ilvl w:val="0"/>
          <w:numId w:val="1"/>
        </w:numPr>
        <w:kinsoku/>
        <w:wordWrap/>
        <w:overflowPunct/>
        <w:topLinePunct w:val="0"/>
        <w:autoSpaceDE/>
        <w:autoSpaceDN/>
        <w:bidi w:val="0"/>
        <w:adjustRightInd/>
        <w:snapToGrid/>
        <w:spacing w:line="560" w:lineRule="exact"/>
        <w:textAlignment w:val="auto"/>
        <w:rPr>
          <w:rFonts w:hint="eastAsia" w:ascii="黑体" w:hAnsi="黑体" w:eastAsia="黑体" w:cs="黑体"/>
          <w:b w:val="0"/>
          <w:bCs w:val="0"/>
          <w:spacing w:val="8"/>
          <w:sz w:val="32"/>
          <w:szCs w:val="32"/>
          <w:shd w:val="clear" w:color="auto" w:fill="FFFFFF"/>
        </w:rPr>
      </w:pPr>
      <w:r>
        <w:rPr>
          <w:rFonts w:hint="eastAsia" w:ascii="黑体" w:hAnsi="黑体" w:eastAsia="黑体" w:cs="黑体"/>
          <w:b w:val="0"/>
          <w:bCs w:val="0"/>
          <w:spacing w:val="8"/>
          <w:sz w:val="32"/>
          <w:szCs w:val="32"/>
          <w:shd w:val="clear" w:color="auto" w:fill="FFFFFF"/>
          <w:lang w:val="is-IS"/>
        </w:rPr>
        <w:t>积极拓展渠道</w:t>
      </w:r>
      <w:r>
        <w:rPr>
          <w:rFonts w:hint="eastAsia" w:ascii="黑体" w:hAnsi="黑体" w:eastAsia="黑体" w:cs="黑体"/>
          <w:b w:val="0"/>
          <w:bCs w:val="0"/>
          <w:spacing w:val="8"/>
          <w:sz w:val="32"/>
          <w:szCs w:val="32"/>
          <w:shd w:val="clear" w:color="auto" w:fill="FFFFFF"/>
        </w:rPr>
        <w:t>，保障多元主体有效参与</w:t>
      </w:r>
    </w:p>
    <w:p>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eastAsia" w:ascii="仿宋" w:hAnsi="仿宋" w:eastAsia="仿宋" w:cs="仿宋"/>
          <w:spacing w:val="8"/>
          <w:sz w:val="32"/>
          <w:szCs w:val="32"/>
          <w:shd w:val="clear" w:color="auto" w:fill="FFFFFF"/>
        </w:rPr>
      </w:pPr>
      <w:r>
        <w:rPr>
          <w:rFonts w:hint="eastAsia" w:ascii="仿宋" w:hAnsi="仿宋" w:eastAsia="仿宋" w:cs="仿宋"/>
          <w:spacing w:val="8"/>
          <w:sz w:val="32"/>
          <w:szCs w:val="32"/>
          <w:shd w:val="clear" w:color="auto" w:fill="FFFFFF"/>
        </w:rPr>
        <w:t>打造共建共治共享的食品安全社会治理格局，应以机制创新为动力，实现从管理型向治理型转变，治理模式也应转变为合作、共治、善治，充分尊重民意，积极拓展多种渠道，让群众有序、有效地参与到食品安全社会治理过程的方方面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厦门市“食安斗阵行”系列活动始终坚持民意导向，直击群众最关心关切的问题，始终坚持社会共治方向与群众关心关切相统一，广泛征集民意，聚焦群众最关心的食品生产源头、流通、餐饮以及质量检测等各个环节，精心设计“食安斗阵行”系列活动，创新推出十余项举措，包括：</w:t>
      </w:r>
      <w:r>
        <w:rPr>
          <w:rFonts w:hint="eastAsia" w:ascii="仿宋" w:hAnsi="仿宋" w:eastAsia="仿宋"/>
          <w:bCs/>
          <w:sz w:val="32"/>
          <w:szCs w:val="32"/>
        </w:rPr>
        <w:t>“月月十五查餐厅”“直击网红店”“幸福社区总动员”“食安科普校园走透透” “食品安全你点我检”“十佳食安卫士评选”“食安厦门微信公众号”“食安专家面对面”“食品安全教育基地”“荣誉监督员在线”“食安小红帽”</w:t>
      </w:r>
      <w:r>
        <w:rPr>
          <w:rFonts w:hint="eastAsia" w:ascii="仿宋" w:hAnsi="仿宋" w:eastAsia="仿宋"/>
          <w:sz w:val="32"/>
          <w:szCs w:val="32"/>
        </w:rPr>
        <w:t>“餐饮单位你挑毛病我付钱”和</w:t>
      </w:r>
      <w:r>
        <w:rPr>
          <w:rFonts w:hint="eastAsia" w:ascii="仿宋" w:hAnsi="仿宋" w:eastAsia="仿宋"/>
          <w:bCs/>
          <w:sz w:val="32"/>
          <w:szCs w:val="32"/>
        </w:rPr>
        <w:t>厦门晚报食安科普专栏</w:t>
      </w:r>
      <w:r>
        <w:rPr>
          <w:rFonts w:hint="eastAsia" w:ascii="仿宋" w:hAnsi="仿宋" w:eastAsia="仿宋"/>
          <w:sz w:val="32"/>
          <w:szCs w:val="32"/>
        </w:rPr>
        <w:t>等活动，形式新颖，内容丰富。每一项活动都经过精心策划，邀请人大代表、政协委员、媒体记者、专家、律师、在校师生等社会各界深入参与到食品安全执法监督和科普宣传，督促企业履行主体责任，宣传食安科普知识，倡导健康饮食理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2018年举办的首届“厦门市十佳食安卫士”评选活动，反响十分热烈，共有超过87万人次参与投票，通过宣传“食安卫士”的故事，让市民了解食品安全背后有许多来自各行各业的人默默无闻的奉献。市食安办还通过“食安厦门”微信公众号，不定期邀请市民完成“选择题”：从“你点我检”到“你点我查”，覆盖农产品种养殖基地、食品生产基地、农贸市场、超市到热门商圈、餐饮门店、“网红店”。食品安全工作怎么做，请“市民来出招”，成效怎么样，由“市民说了算”。这种让社会各界有序、有效参与执法检查、科普宣传的形式，得到了群众热烈的响应和广泛好评，进而有效保障了群众食品安全的知情权、选择权、参与权以及监督权。</w:t>
      </w:r>
    </w:p>
    <w:p>
      <w:pPr>
        <w:keepNext w:val="0"/>
        <w:keepLines w:val="0"/>
        <w:pageBreakBefore w:val="0"/>
        <w:numPr>
          <w:ilvl w:val="0"/>
          <w:numId w:val="1"/>
        </w:numPr>
        <w:kinsoku/>
        <w:wordWrap/>
        <w:overflowPunct/>
        <w:topLinePunct w:val="0"/>
        <w:autoSpaceDE/>
        <w:autoSpaceDN/>
        <w:bidi w:val="0"/>
        <w:adjustRightInd/>
        <w:snapToGrid/>
        <w:spacing w:line="560" w:lineRule="exact"/>
        <w:textAlignment w:val="auto"/>
        <w:rPr>
          <w:rFonts w:hint="eastAsia" w:ascii="黑体" w:hAnsi="黑体" w:eastAsia="黑体" w:cs="黑体"/>
          <w:b w:val="0"/>
          <w:bCs w:val="0"/>
          <w:spacing w:val="8"/>
          <w:sz w:val="32"/>
          <w:szCs w:val="32"/>
          <w:shd w:val="clear" w:color="auto" w:fill="FFFFFF"/>
          <w:lang w:val="is-IS"/>
        </w:rPr>
      </w:pPr>
      <w:r>
        <w:rPr>
          <w:rFonts w:hint="eastAsia" w:ascii="黑体" w:hAnsi="黑体" w:eastAsia="黑体" w:cs="黑体"/>
          <w:b w:val="0"/>
          <w:bCs w:val="0"/>
          <w:spacing w:val="8"/>
          <w:sz w:val="32"/>
          <w:szCs w:val="32"/>
          <w:shd w:val="clear" w:color="auto" w:fill="FFFFFF"/>
          <w:lang w:val="is-IS"/>
        </w:rPr>
        <w:t>转变治理方式，拓宽社会监督平台</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72" w:firstLineChars="200"/>
        <w:jc w:val="both"/>
        <w:textAlignment w:val="auto"/>
        <w:rPr>
          <w:rFonts w:hint="eastAsia" w:ascii="仿宋" w:hAnsi="仿宋" w:eastAsia="仿宋" w:cs="仿宋"/>
          <w:spacing w:val="8"/>
          <w:kern w:val="2"/>
          <w:sz w:val="32"/>
          <w:szCs w:val="32"/>
          <w:shd w:val="clear" w:color="auto" w:fill="FFFFFF"/>
        </w:rPr>
      </w:pPr>
      <w:r>
        <w:rPr>
          <w:rFonts w:hint="eastAsia" w:ascii="仿宋" w:hAnsi="仿宋" w:eastAsia="仿宋" w:cs="仿宋"/>
          <w:spacing w:val="8"/>
          <w:kern w:val="2"/>
          <w:sz w:val="32"/>
          <w:szCs w:val="32"/>
          <w:shd w:val="clear" w:color="auto" w:fill="FFFFFF"/>
        </w:rPr>
        <w:t>食品安全是一项社会系统工程，环节多，链条长，要打造共建共治共享的治理格局，必然要求加快转变食品安全治理方式，由主要靠政府管理向多元主体合作共治转变，由靠行政手段、法律手段向行政手段、法律手段与社会自治、市场机制多种手段协同发力转变，逐步形成政府主抓、部门严格监管、企业诚信经营、社会积极监督的多元化共治格局，从而实现食品安全社会治理从单部门监管向多力量共治的转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在“食安斗阵行”系列活动中，“月月十五查餐厅”行动，正是巧妙搭建起了社会各界多力量在餐饮食品安全共治共管的平台，并以执法检查全程公开，督促餐厅后厨问题立抓立改的良好成效，深受市民群众的欢迎和各界的好评，逐渐成为了“食安斗阵行”系列活动的明星活动。在每个月15日，市食安办联合厦门电视台</w:t>
      </w:r>
      <w:r>
        <w:rPr>
          <w:rFonts w:hint="eastAsia" w:ascii="仿宋" w:hAnsi="仿宋" w:eastAsia="仿宋"/>
          <w:sz w:val="32"/>
          <w:szCs w:val="32"/>
          <w:lang w:eastAsia="zh-CN"/>
        </w:rPr>
        <w:t>“</w:t>
      </w:r>
      <w:r>
        <w:rPr>
          <w:rFonts w:hint="eastAsia" w:ascii="仿宋" w:hAnsi="仿宋" w:eastAsia="仿宋"/>
          <w:sz w:val="32"/>
          <w:szCs w:val="32"/>
        </w:rPr>
        <w:t>特区新闻广场</w:t>
      </w:r>
      <w:r>
        <w:rPr>
          <w:rFonts w:hint="eastAsia" w:ascii="仿宋" w:hAnsi="仿宋" w:eastAsia="仿宋"/>
          <w:sz w:val="32"/>
          <w:szCs w:val="32"/>
          <w:lang w:eastAsia="zh-CN"/>
        </w:rPr>
        <w:t>”</w:t>
      </w:r>
      <w:r>
        <w:rPr>
          <w:rFonts w:hint="eastAsia" w:ascii="仿宋" w:hAnsi="仿宋" w:eastAsia="仿宋"/>
          <w:sz w:val="32"/>
          <w:szCs w:val="32"/>
        </w:rPr>
        <w:t>栏目和厦门日报社，由主持人带领人大代表、政协委员、市民代表、媒体记者跟随监管部门执法人员对市民票选出的餐饮商圈展开随机检查，检查情况全程公开报道。这种市民点单、部门检查、媒体报道的形式，开展8期以来，得到越来越多市民群众的关注和点赞。省政协委员黄秀惠在检查现场说：“这项活动的举办，充分说明监管部门的自我加压，必须要有足够的勇气和自信才能举办。”</w:t>
      </w:r>
      <w:r>
        <w:rPr>
          <w:rFonts w:hint="eastAsia" w:ascii="仿宋" w:hAnsi="仿宋" w:eastAsia="仿宋"/>
          <w:sz w:val="32"/>
          <w:szCs w:val="32"/>
          <w:lang w:eastAsia="zh-CN"/>
        </w:rPr>
        <w:t>在一次检查中，</w:t>
      </w:r>
      <w:r>
        <w:rPr>
          <w:rFonts w:hint="eastAsia" w:ascii="仿宋" w:hAnsi="仿宋" w:eastAsia="仿宋"/>
          <w:sz w:val="32"/>
          <w:szCs w:val="32"/>
        </w:rPr>
        <w:t>厦门市某知名网红炸鸡店被查出较为严重的问题，监管部门当场责令停业整顿，媒体也全程做了跟踪报道。这家网红餐厅在积极配合整改的基础上，还主动进行了关停迁址和整体提升，一个多月后以崭新的面貌重迎八方来客，受到消费者的广泛好评。此事一经报道，许多网友纷纷留言点赞，表达对监管部门动真格检查行动的强烈支持。在“月月十五查餐厅”行动宣传效应的带动下，越来越多的部门主动加入其中，市检察院也结合“守护千家万户舌尖安全”专项检察活动，主动派出检察官参与到查餐厅行动中来，进一步扩大了该行动的监督面和影响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在广泛联结社会各界参与食品安全共治共管的同时，“月月十五查餐厅”行动还在餐饮业界引发了“鲇鱼效应”，促成全市各大餐饮商圈自觉开展定期自查，以社会各界的“放大镜”，认真审视自身在食品制售的各环节、各细节存在的问题，及时整改，不断完善后厨设施设备，提升管理和服务水平。可以说，“月月十五查餐厅”行动带动了政府部门、商圈和商家、媒体、市民同频共振、同向发力，达到了食品安全社会共治的目标。</w:t>
      </w:r>
    </w:p>
    <w:p>
      <w:pPr>
        <w:keepNext w:val="0"/>
        <w:keepLines w:val="0"/>
        <w:pageBreakBefore w:val="0"/>
        <w:numPr>
          <w:ilvl w:val="0"/>
          <w:numId w:val="1"/>
        </w:numPr>
        <w:kinsoku/>
        <w:wordWrap/>
        <w:overflowPunct/>
        <w:topLinePunct w:val="0"/>
        <w:autoSpaceDE/>
        <w:autoSpaceDN/>
        <w:bidi w:val="0"/>
        <w:adjustRightInd/>
        <w:snapToGrid/>
        <w:spacing w:line="560" w:lineRule="exact"/>
        <w:textAlignment w:val="auto"/>
        <w:rPr>
          <w:rFonts w:hint="eastAsia" w:ascii="黑体" w:hAnsi="黑体" w:eastAsia="黑体" w:cs="黑体"/>
          <w:b w:val="0"/>
          <w:bCs w:val="0"/>
          <w:spacing w:val="8"/>
          <w:sz w:val="32"/>
          <w:szCs w:val="32"/>
          <w:shd w:val="clear" w:color="auto" w:fill="FFFFFF"/>
          <w:lang w:val="is-IS"/>
        </w:rPr>
      </w:pPr>
      <w:r>
        <w:rPr>
          <w:rFonts w:hint="eastAsia" w:ascii="黑体" w:hAnsi="黑体" w:eastAsia="黑体" w:cs="黑体"/>
          <w:b w:val="0"/>
          <w:bCs w:val="0"/>
          <w:spacing w:val="8"/>
          <w:sz w:val="32"/>
          <w:szCs w:val="32"/>
          <w:shd w:val="clear" w:color="auto" w:fill="FFFFFF"/>
          <w:lang w:val="is-IS"/>
        </w:rPr>
        <w:t>突出成果共享，实现共建共治的终极目标</w:t>
      </w:r>
    </w:p>
    <w:p>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eastAsia" w:ascii="仿宋" w:hAnsi="仿宋" w:eastAsia="仿宋"/>
          <w:sz w:val="32"/>
          <w:szCs w:val="32"/>
        </w:rPr>
      </w:pPr>
      <w:r>
        <w:rPr>
          <w:rFonts w:hint="eastAsia" w:ascii="仿宋" w:hAnsi="仿宋" w:eastAsia="仿宋" w:cs="仿宋"/>
          <w:spacing w:val="8"/>
          <w:sz w:val="32"/>
          <w:szCs w:val="32"/>
          <w:shd w:val="clear" w:color="auto" w:fill="FFFFFF"/>
        </w:rPr>
        <w:t>实现共享是食品安全社会治理的最高价值和落脚点，是治理理念与治理模式的有机结合与高度统一，也是人民群众获得感的实现形式和汲取路径。因此，厦门市食安办</w:t>
      </w:r>
      <w:r>
        <w:rPr>
          <w:rFonts w:hint="eastAsia" w:ascii="仿宋" w:hAnsi="仿宋" w:eastAsia="仿宋"/>
          <w:sz w:val="32"/>
          <w:szCs w:val="32"/>
        </w:rPr>
        <w:t>始终把“社会认可、群众满意”作为评价社会共治成效的根本标准，以治理</w:t>
      </w:r>
      <w:r>
        <w:rPr>
          <w:rFonts w:hint="eastAsia" w:ascii="仿宋" w:hAnsi="仿宋" w:eastAsia="仿宋"/>
          <w:bCs/>
          <w:sz w:val="32"/>
          <w:szCs w:val="32"/>
        </w:rPr>
        <w:t>成果共享作为社会共治的落脚点。通过</w:t>
      </w:r>
      <w:r>
        <w:rPr>
          <w:rFonts w:hint="eastAsia" w:ascii="仿宋" w:hAnsi="仿宋" w:eastAsia="仿宋"/>
          <w:sz w:val="32"/>
          <w:szCs w:val="32"/>
        </w:rPr>
        <w:t>“食安斗阵行”系列活动，实现食品安全共治与共享间的相互交融</w:t>
      </w:r>
      <w:r>
        <w:rPr>
          <w:rFonts w:hint="eastAsia" w:ascii="仿宋" w:hAnsi="仿宋" w:eastAsia="仿宋"/>
          <w:sz w:val="32"/>
          <w:szCs w:val="32"/>
          <w:lang w:eastAsia="zh-CN"/>
        </w:rPr>
        <w:t>、</w:t>
      </w:r>
      <w:r>
        <w:rPr>
          <w:rFonts w:hint="eastAsia" w:ascii="仿宋" w:hAnsi="仿宋" w:eastAsia="仿宋"/>
          <w:sz w:val="32"/>
          <w:szCs w:val="32"/>
        </w:rPr>
        <w:t>互为促进，实现活动成效与群众的关切需求和切身感受相一致。例如</w:t>
      </w:r>
      <w:r>
        <w:rPr>
          <w:rFonts w:hint="eastAsia" w:ascii="仿宋" w:hAnsi="仿宋" w:eastAsia="仿宋"/>
          <w:sz w:val="32"/>
          <w:szCs w:val="32"/>
          <w:lang w:eastAsia="zh-CN"/>
        </w:rPr>
        <w:t>，</w:t>
      </w:r>
      <w:r>
        <w:rPr>
          <w:rFonts w:hint="eastAsia" w:ascii="仿宋" w:hAnsi="仿宋" w:eastAsia="仿宋"/>
          <w:sz w:val="32"/>
          <w:szCs w:val="32"/>
        </w:rPr>
        <w:t>利用“食安厦门”微信公众号建立“一查到底”功能，让市民通过微信扫码，就可以追溯到25万种食品来源和流向；通过“明厨亮灶”、视频厨房、网络厨房，将餐厅的后厨加工环境和过程实时向市民公开，增强食品消费安全感；</w:t>
      </w:r>
      <w:r>
        <w:rPr>
          <w:rFonts w:hint="eastAsia" w:ascii="仿宋" w:hAnsi="仿宋" w:eastAsia="仿宋" w:cs="仿宋"/>
          <w:sz w:val="32"/>
          <w:szCs w:val="32"/>
        </w:rPr>
        <w:t>邀请人大代表、政协委员、媒体记者、市民代表参与“食品安全你点我检”活动，以民意为导向，对群众关注的重大民生类食品实施月月抽检，抽检结果100%向社会公示，不合格产品100%核查处置。与此同时，</w:t>
      </w:r>
      <w:r>
        <w:rPr>
          <w:rFonts w:hint="eastAsia" w:ascii="仿宋" w:hAnsi="仿宋" w:eastAsia="仿宋"/>
          <w:sz w:val="32"/>
          <w:szCs w:val="32"/>
        </w:rPr>
        <w:t>各类监督检查信息、诚信等级评定结果等监管信息，也均实现100%向社会开放查询，增强食品安全信息透明度，让市民感受到监管就在身边，食品安全治理成果是看得见、摸得着、查得到的实实在在的获得感。</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kern w:val="28"/>
          <w:sz w:val="32"/>
          <w:szCs w:val="32"/>
        </w:rPr>
      </w:pPr>
      <w:r>
        <w:rPr>
          <w:rFonts w:hint="eastAsia" w:ascii="宋体" w:hAnsi="宋体"/>
          <w:kern w:val="28"/>
          <w:sz w:val="32"/>
          <w:szCs w:val="32"/>
        </w:rPr>
        <w:t>【</w:t>
      </w:r>
      <w:r>
        <w:rPr>
          <w:rFonts w:hint="eastAsia" w:ascii="宋体" w:hAnsi="宋体"/>
          <w:b/>
          <w:bCs/>
          <w:kern w:val="28"/>
          <w:sz w:val="32"/>
          <w:szCs w:val="32"/>
        </w:rPr>
        <w:t>成效</w:t>
      </w:r>
      <w:r>
        <w:rPr>
          <w:rFonts w:hint="eastAsia" w:ascii="宋体" w:hAnsi="宋体"/>
          <w:b/>
          <w:bCs/>
          <w:kern w:val="28"/>
          <w:sz w:val="32"/>
          <w:szCs w:val="32"/>
          <w:lang w:eastAsia="zh-CN"/>
        </w:rPr>
        <w:t>与</w:t>
      </w:r>
      <w:r>
        <w:rPr>
          <w:rFonts w:hint="eastAsia" w:ascii="宋体" w:hAnsi="宋体"/>
          <w:b/>
          <w:bCs/>
          <w:kern w:val="28"/>
          <w:sz w:val="32"/>
          <w:szCs w:val="32"/>
        </w:rPr>
        <w:t>反响</w:t>
      </w:r>
      <w:r>
        <w:rPr>
          <w:rFonts w:hint="eastAsia" w:ascii="宋体" w:hAnsi="宋体"/>
          <w:kern w:val="28"/>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bCs/>
          <w:sz w:val="32"/>
          <w:szCs w:val="32"/>
        </w:rPr>
      </w:pPr>
      <w:r>
        <w:rPr>
          <w:rFonts w:hint="eastAsia" w:ascii="仿宋" w:hAnsi="仿宋" w:eastAsia="仿宋"/>
          <w:bCs/>
          <w:sz w:val="32"/>
          <w:szCs w:val="32"/>
        </w:rPr>
        <w:t>厦门市食安办通过“食安斗阵行”系列活动的开展，逐步构建起了食品安全共建共治共享的治理格局，有效提升了群众在食品安全方面的获得感和满意度。如今，市民关心食品安全，支持监管工作，科学健康饮食的生活新风尚正在兴起，市民群众对厦门食品安全工作的知晓率、支持率和满意率也逐年提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
          <w:kern w:val="28"/>
          <w:sz w:val="32"/>
          <w:szCs w:val="32"/>
        </w:rPr>
      </w:pPr>
      <w:r>
        <w:rPr>
          <w:rFonts w:hint="eastAsia" w:ascii="仿宋" w:hAnsi="仿宋" w:eastAsia="仿宋"/>
          <w:bCs/>
          <w:sz w:val="32"/>
          <w:szCs w:val="32"/>
        </w:rPr>
        <w:t>在2016、2017年度福建省食安委对各设区市食品安全年度考核中，厦门综合排名和群众食品安全满意度均位列第一，第三方机构调查的群众满意度提升22个百分点，达到87.6%，不仅在各设区市中排名第一，在国务院食安办对第二批创建城市的中期评估中也位列第一，多次在全国“双安双创”现场会上作经验交流。2017年，厦门“食安斗阵行”系列活动所取得的成效和经验得到省政府领导的批示肯定，要求全省推广。2018年，厦门市食安办委托第三方调研机构，开展了两轮群众食品安全总体满意度、对创城工作的知晓率和支持率的调查，食品安全满意度得分87.64,创城工作知晓率为84.7%，创城工作支持率为99.8%，也均高于创城的国家标准。</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kern w:val="28"/>
          <w:sz w:val="32"/>
          <w:szCs w:val="32"/>
        </w:rPr>
      </w:pPr>
      <w:r>
        <w:rPr>
          <w:rFonts w:hint="eastAsia" w:ascii="宋体" w:hAnsi="宋体"/>
          <w:kern w:val="28"/>
          <w:sz w:val="32"/>
          <w:szCs w:val="32"/>
        </w:rPr>
        <w:t>【</w:t>
      </w:r>
      <w:r>
        <w:rPr>
          <w:rFonts w:hint="eastAsia" w:ascii="宋体" w:hAnsi="宋体"/>
          <w:b/>
          <w:bCs/>
          <w:kern w:val="28"/>
          <w:sz w:val="32"/>
          <w:szCs w:val="32"/>
          <w:lang w:eastAsia="zh-CN"/>
        </w:rPr>
        <w:t>经验与启示</w:t>
      </w:r>
      <w:r>
        <w:rPr>
          <w:rFonts w:hint="eastAsia" w:ascii="宋体" w:hAnsi="宋体"/>
          <w:kern w:val="28"/>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bCs/>
          <w:sz w:val="32"/>
          <w:szCs w:val="32"/>
        </w:rPr>
      </w:pPr>
      <w:r>
        <w:rPr>
          <w:rFonts w:hint="eastAsia" w:ascii="仿宋" w:hAnsi="仿宋" w:eastAsia="仿宋"/>
          <w:bCs/>
          <w:sz w:val="32"/>
          <w:szCs w:val="32"/>
        </w:rPr>
        <w:t>新时代，人民群众对食品安全的需求更趋多元化、多层次、高品质，参与食品安全社会治理的意识也越来越强，而厦门市“食安斗阵行”系列活动主动适应新时代食品安全的形势要求，通过强化民意导向，直击群众最关心关切的食安问题</w:t>
      </w:r>
      <w:r>
        <w:rPr>
          <w:rFonts w:hint="eastAsia" w:ascii="仿宋" w:hAnsi="仿宋" w:eastAsia="仿宋"/>
          <w:bCs/>
          <w:sz w:val="32"/>
          <w:szCs w:val="32"/>
          <w:lang w:eastAsia="zh-CN"/>
        </w:rPr>
        <w:t>。</w:t>
      </w:r>
      <w:r>
        <w:rPr>
          <w:rFonts w:hint="eastAsia" w:ascii="仿宋" w:hAnsi="仿宋" w:eastAsia="仿宋"/>
          <w:bCs/>
          <w:sz w:val="32"/>
          <w:szCs w:val="32"/>
        </w:rPr>
        <w:t>通过强化成果共享，实现社会共治成效最优化，构建起政府主抓、部门严格监管、企业诚信经营、社会积极监督的多元治理体系，极大增强了群众的获得感、幸福感和安全感并成功引领了健康饮食的生活新风尚，成为厦门食品安全宣传共治的精品活动，广受市民群众的喜爱。</w:t>
      </w: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bCs/>
          <w:sz w:val="32"/>
          <w:szCs w:val="32"/>
        </w:rPr>
      </w:pPr>
      <w:r>
        <w:rPr>
          <w:rFonts w:hint="eastAsia" w:ascii="宋体" w:hAnsi="宋体"/>
          <w:kern w:val="28"/>
          <w:sz w:val="32"/>
          <w:szCs w:val="32"/>
        </w:rPr>
        <w:t>【</w:t>
      </w:r>
      <w:r>
        <w:rPr>
          <w:rFonts w:hint="eastAsia" w:ascii="宋体" w:hAnsi="宋体"/>
          <w:b/>
          <w:bCs/>
          <w:kern w:val="28"/>
          <w:sz w:val="32"/>
          <w:szCs w:val="32"/>
          <w:lang w:eastAsia="zh-CN"/>
        </w:rPr>
        <w:t>探讨与评论</w:t>
      </w:r>
      <w:r>
        <w:rPr>
          <w:rFonts w:hint="eastAsia" w:ascii="宋体" w:hAnsi="宋体"/>
          <w:kern w:val="28"/>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bCs/>
          <w:sz w:val="32"/>
          <w:szCs w:val="32"/>
        </w:rPr>
      </w:pPr>
      <w:r>
        <w:rPr>
          <w:rFonts w:hint="eastAsia" w:ascii="仿宋" w:hAnsi="仿宋" w:eastAsia="仿宋"/>
          <w:bCs/>
          <w:sz w:val="32"/>
          <w:szCs w:val="32"/>
        </w:rPr>
        <w:t>厦门市“食安斗阵行”的名字起的非常接地气，通过一句厦门市民耳熟能详的闽南语，来赋予活动更多的亲和力和感召力，充分调动群众参与食品安全治理的积极性、主动性。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bCs/>
          <w:sz w:val="32"/>
          <w:szCs w:val="32"/>
        </w:rPr>
      </w:pPr>
      <w:r>
        <w:rPr>
          <w:rFonts w:hint="eastAsia" w:ascii="仿宋" w:hAnsi="仿宋" w:eastAsia="仿宋"/>
          <w:bCs/>
          <w:sz w:val="32"/>
          <w:szCs w:val="32"/>
        </w:rPr>
        <w:t>厦门市“食安斗阵行”可谓是一套组合拳，“月月十五查餐厅”“直击网红店”“幸福社区总动员”“食安科普校园走透透” “食品安全你点我检”“十佳食安卫士评选”等等，对食品经营企业的监管，“总有一款适合你”。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kern w:val="28"/>
          <w:sz w:val="32"/>
          <w:szCs w:val="32"/>
        </w:rPr>
      </w:pPr>
      <w:r>
        <w:rPr>
          <w:rFonts w:hint="eastAsia" w:ascii="仿宋" w:hAnsi="仿宋" w:eastAsia="仿宋"/>
          <w:bCs/>
          <w:sz w:val="32"/>
          <w:szCs w:val="32"/>
        </w:rPr>
        <w:t>不断满足人民群众日益增长的美好生活需要不是一句空话，厦门市局勇于探索实践，主动创新模式，“食安斗阵行”有效激活了食品安全社会治理新模式，通过强化多元参与，寻求到了食品安全治理的“最大公约数”打开了食品安全监管工作的新视野、新境界，不仅有态度、有力度，更有温度、有热度，着力在提升百姓理性认知、赢得情感共鸣上下功夫，彰显出食安工作应有的“大情怀”和“巧心思”。</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5</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5</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1C563D"/>
    <w:multiLevelType w:val="multilevel"/>
    <w:tmpl w:val="591C563D"/>
    <w:lvl w:ilvl="0" w:tentative="0">
      <w:start w:val="1"/>
      <w:numFmt w:val="japaneseCounting"/>
      <w:lvlText w:val="%1、"/>
      <w:lvlJc w:val="left"/>
      <w:pPr>
        <w:ind w:left="1363" w:hanging="720"/>
      </w:pPr>
      <w:rPr>
        <w:rFonts w:hint="default" w:cs="Times New Roman"/>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7CD"/>
    <w:rsid w:val="00036374"/>
    <w:rsid w:val="003647C8"/>
    <w:rsid w:val="0045682B"/>
    <w:rsid w:val="00515B38"/>
    <w:rsid w:val="007770CB"/>
    <w:rsid w:val="009B4789"/>
    <w:rsid w:val="009C67CD"/>
    <w:rsid w:val="009F3077"/>
    <w:rsid w:val="00B27FF8"/>
    <w:rsid w:val="00B87D72"/>
    <w:rsid w:val="00BE6598"/>
    <w:rsid w:val="00D60B36"/>
    <w:rsid w:val="00DB3661"/>
    <w:rsid w:val="00DD0678"/>
    <w:rsid w:val="00FA05A1"/>
    <w:rsid w:val="00FB785F"/>
    <w:rsid w:val="01B84481"/>
    <w:rsid w:val="01EA4D41"/>
    <w:rsid w:val="02276C71"/>
    <w:rsid w:val="076858A2"/>
    <w:rsid w:val="0C482A30"/>
    <w:rsid w:val="0D453122"/>
    <w:rsid w:val="0E543972"/>
    <w:rsid w:val="115E5023"/>
    <w:rsid w:val="1975538E"/>
    <w:rsid w:val="1B6A0B04"/>
    <w:rsid w:val="1CDF6AF0"/>
    <w:rsid w:val="1E2B7DEA"/>
    <w:rsid w:val="1E4E72A7"/>
    <w:rsid w:val="1F6C661F"/>
    <w:rsid w:val="20A02E7E"/>
    <w:rsid w:val="24EF538A"/>
    <w:rsid w:val="26CF2054"/>
    <w:rsid w:val="2A262A7A"/>
    <w:rsid w:val="2AD03974"/>
    <w:rsid w:val="2CCE110B"/>
    <w:rsid w:val="2D3D042F"/>
    <w:rsid w:val="2DB6523C"/>
    <w:rsid w:val="2E775DAB"/>
    <w:rsid w:val="33306AAE"/>
    <w:rsid w:val="35585743"/>
    <w:rsid w:val="36A44DD8"/>
    <w:rsid w:val="3A867E30"/>
    <w:rsid w:val="3B6F46B0"/>
    <w:rsid w:val="3D075893"/>
    <w:rsid w:val="4009446B"/>
    <w:rsid w:val="437205AD"/>
    <w:rsid w:val="43735A24"/>
    <w:rsid w:val="44C82FD4"/>
    <w:rsid w:val="458760A7"/>
    <w:rsid w:val="45D562F2"/>
    <w:rsid w:val="49EA049E"/>
    <w:rsid w:val="4AFA0CAC"/>
    <w:rsid w:val="4C586A2F"/>
    <w:rsid w:val="4CEC4ED7"/>
    <w:rsid w:val="4D530F99"/>
    <w:rsid w:val="536C67C2"/>
    <w:rsid w:val="541C029A"/>
    <w:rsid w:val="5472491D"/>
    <w:rsid w:val="55476745"/>
    <w:rsid w:val="57347214"/>
    <w:rsid w:val="57FA32B9"/>
    <w:rsid w:val="58EB446E"/>
    <w:rsid w:val="5975225F"/>
    <w:rsid w:val="5A354F2C"/>
    <w:rsid w:val="5BE0120A"/>
    <w:rsid w:val="5C9C701B"/>
    <w:rsid w:val="614C62F6"/>
    <w:rsid w:val="68987509"/>
    <w:rsid w:val="689F4718"/>
    <w:rsid w:val="6C0F05D7"/>
    <w:rsid w:val="6D201407"/>
    <w:rsid w:val="71892278"/>
    <w:rsid w:val="74846B78"/>
    <w:rsid w:val="793369F1"/>
    <w:rsid w:val="79C6750F"/>
    <w:rsid w:val="7C0D6330"/>
    <w:rsid w:val="7C846B5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nhideWhenUsed="0" w:uiPriority="99" w:name="Medium Grid 1"/>
    <w:lsdException w:qFormat="1" w:unhideWhenUsed="0" w:uiPriority="1" w:semiHidden="0" w:name="Medium Grid 2"/>
    <w:lsdException w:uiPriority="60" w:name="Medium Grid 3"/>
    <w:lsdException w:uiPriority="61" w:name="Dark List"/>
    <w:lsdException w:uiPriority="62" w:name="Colorful Shading"/>
    <w:lsdException w:uiPriority="63" w:name="Colorful List"/>
    <w:lsdException w:uiPriority="64" w:name="Colorful Grid"/>
    <w:lsdException w:uiPriority="65" w:name="Light Shading Accent 1"/>
    <w:lsdException w:uiPriority="66" w:name="Light List Accent 1"/>
    <w:lsdException w:uiPriority="67" w:name="Light Grid Accent 1"/>
    <w:lsdException w:uiPriority="68" w:name="Medium Shading 1 Accent 1"/>
    <w:lsdException w:uiPriority="69" w:name="Medium Shading 2 Accent 1"/>
    <w:lsdException w:uiPriority="70" w:name="Medium List 1 Accent 1"/>
    <w:lsdException w:uiPriority="61" w:name="Medium List 2 Accent 1"/>
    <w:lsdException w:uiPriority="62" w:name="Medium Grid 1 Accent 1"/>
    <w:lsdException w:uiPriority="63" w:name="Medium Grid 2 Accent 1"/>
    <w:lsdException w:uiPriority="64" w:name="Medium Grid 3 Accent 1"/>
    <w:lsdException w:uiPriority="65" w:name="Dark List Accent 1"/>
    <w:lsdException w:unhideWhenUsed="0" w:uiPriority="99" w:name="Colorful Shading Accent 1"/>
    <w:lsdException w:qFormat="1" w:unhideWhenUsed="0" w:uiPriority="34" w:semiHidden="0" w:name="Colorful List Accent 1"/>
    <w:lsdException w:qFormat="1" w:unhideWhenUsed="0" w:uiPriority="29" w:semiHidden="0" w:name="Colorful Grid Accent 1"/>
    <w:lsdException w:qFormat="1" w:unhideWhenUsed="0" w:uiPriority="30" w:semiHidden="0" w:name="Light Shading Accent 2"/>
    <w:lsdException w:uiPriority="66" w:name="Light List Accent 2"/>
    <w:lsdException w:uiPriority="67" w:name="Light Grid Accent 2"/>
    <w:lsdException w:uiPriority="68" w:name="Medium Shading 1 Accent 2"/>
    <w:lsdException w:uiPriority="69" w:name="Medium Shading 2 Accent 2"/>
    <w:lsdException w:uiPriority="70" w:name="Medium List 1 Accent 2"/>
    <w:lsdException w:uiPriority="71" w:name="Medium List 2 Accent 2"/>
    <w:lsdException w:uiPriority="72" w:name="Medium Grid 1 Accent 2"/>
    <w:lsdException w:uiPriority="73" w:name="Medium Grid 2 Accent 2"/>
    <w:lsdException w:uiPriority="60" w:name="Medium Grid 3 Accent 2"/>
    <w:lsdException w:uiPriority="61" w:name="Dark List Accent 2"/>
    <w:lsdException w:uiPriority="62" w:name="Colorful Shading Accent 2"/>
    <w:lsdException w:uiPriority="63" w:name="Colorful List Accent 2"/>
    <w:lsdException w:uiPriority="64" w:name="Colorful Grid Accent 2"/>
    <w:lsdException w:uiPriority="65" w:name="Light Shading Accent 3"/>
    <w:lsdException w:uiPriority="66" w:name="Light List Accent 3"/>
    <w:lsdException w:uiPriority="67" w:name="Light Grid Accent 3"/>
    <w:lsdException w:uiPriority="68" w:name="Medium Shading 1 Accent 3"/>
    <w:lsdException w:uiPriority="69" w:name="Medium Shading 2 Accent 3"/>
    <w:lsdException w:uiPriority="70" w:name="Medium List 1 Accent 3"/>
    <w:lsdException w:uiPriority="71" w:name="Medium List 2 Accent 3"/>
    <w:lsdException w:uiPriority="72" w:name="Medium Grid 1 Accent 3"/>
    <w:lsdException w:uiPriority="73" w:name="Medium Grid 2 Accent 3"/>
    <w:lsdException w:uiPriority="60" w:name="Medium Grid 3 Accent 3"/>
    <w:lsdException w:uiPriority="61" w:name="Dark List Accent 3"/>
    <w:lsdException w:uiPriority="62" w:name="Colorful Shading Accent 3"/>
    <w:lsdException w:uiPriority="63" w:name="Colorful List Accent 3"/>
    <w:lsdException w:uiPriority="64" w:name="Colorful Grid Accent 3"/>
    <w:lsdException w:uiPriority="65" w:name="Light Shading Accent 4"/>
    <w:lsdException w:uiPriority="66" w:name="Light List Accent 4"/>
    <w:lsdException w:uiPriority="67" w:name="Light Grid Accent 4"/>
    <w:lsdException w:uiPriority="68" w:name="Medium Shading 1 Accent 4"/>
    <w:lsdException w:uiPriority="69" w:name="Medium Shading 2 Accent 4"/>
    <w:lsdException w:uiPriority="70" w:name="Medium List 1 Accent 4"/>
    <w:lsdException w:uiPriority="71" w:name="Medium List 2 Accent 4"/>
    <w:lsdException w:uiPriority="72" w:name="Medium Grid 1 Accent 4"/>
    <w:lsdException w:uiPriority="73" w:name="Medium Grid 2 Accent 4"/>
    <w:lsdException w:uiPriority="60" w:name="Medium Grid 3 Accent 4"/>
    <w:lsdException w:uiPriority="61" w:name="Dark List Accent 4"/>
    <w:lsdException w:uiPriority="62" w:name="Colorful Shading Accent 4"/>
    <w:lsdException w:uiPriority="63" w:name="Colorful List Accent 4"/>
    <w:lsdException w:uiPriority="64" w:name="Colorful Grid Accent 4"/>
    <w:lsdException w:uiPriority="65" w:name="Light Shading Accent 5"/>
    <w:lsdException w:uiPriority="66" w:name="Light List Accent 5"/>
    <w:lsdException w:uiPriority="67" w:name="Light Grid Accent 5"/>
    <w:lsdException w:uiPriority="68" w:name="Medium Shading 1 Accent 5"/>
    <w:lsdException w:uiPriority="69" w:name="Medium Shading 2 Accent 5"/>
    <w:lsdException w:uiPriority="70" w:name="Medium List 1 Accent 5"/>
    <w:lsdException w:uiPriority="71" w:name="Medium List 2 Accent 5"/>
    <w:lsdException w:uiPriority="72" w:name="Medium Grid 1 Accent 5"/>
    <w:lsdException w:uiPriority="73" w:name="Medium Grid 2 Accent 5"/>
    <w:lsdException w:uiPriority="60" w:name="Medium Grid 3 Accent 5"/>
    <w:lsdException w:uiPriority="61" w:name="Dark List Accent 5"/>
    <w:lsdException w:uiPriority="62" w:name="Colorful Shading Accent 5"/>
    <w:lsdException w:uiPriority="63" w:name="Colorful List Accent 5"/>
    <w:lsdException w:uiPriority="64" w:name="Colorful Grid Accent 5"/>
    <w:lsdException w:uiPriority="65" w:name="Light Shading Accent 6"/>
    <w:lsdException w:uiPriority="66" w:name="Light List Accent 6"/>
    <w:lsdException w:uiPriority="67" w:name="Light Grid Accent 6"/>
    <w:lsdException w:uiPriority="68" w:name="Medium Shading 1 Accent 6"/>
    <w:lsdException w:uiPriority="69" w:name="Medium Shading 2 Accent 6"/>
    <w:lsdException w:uiPriority="70" w:name="Medium List 1 Accent 6"/>
    <w:lsdException w:uiPriority="71" w:name="Medium List 2 Accent 6"/>
    <w:lsdException w:uiPriority="72" w:name="Medium Grid 1 Accent 6"/>
    <w:lsdException w:uiPriority="73" w:name="Medium Grid 2 Accent 6"/>
    <w:lsdException w:uiPriority="60" w:name="Medium Grid 3 Accent 6"/>
    <w:lsdException w:uiPriority="61" w:name="Dark List Accent 6"/>
    <w:lsdException w:uiPriority="62" w:name="Colorful Shading Accent 6"/>
    <w:lsdException w:uiPriority="63" w:name="Colorful List Accent 6"/>
    <w:lsdException w:uiPriority="64"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767</Words>
  <Characters>4374</Characters>
  <Lines>36</Lines>
  <Paragraphs>10</Paragraphs>
  <TotalTime>18</TotalTime>
  <ScaleCrop>false</ScaleCrop>
  <LinksUpToDate>false</LinksUpToDate>
  <CharactersWithSpaces>5131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2019-02-24T02:34:00Z</dcterms:created>
  <dc:creator>DELL</dc:creator>
  <cp:lastModifiedBy>追梦人</cp:lastModifiedBy>
  <cp:lastPrinted>2021-06-22T08:33:53Z</cp:lastPrinted>
  <dcterms:modified xsi:type="dcterms:W3CDTF">2023-08-04T06:22:34Z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KSOSaveFontToCloudKey">
    <vt:lpwstr>300449403_btnclosed</vt:lpwstr>
  </property>
  <property fmtid="{D5CDD505-2E9C-101B-9397-08002B2CF9AE}" pid="4" name="ICV">
    <vt:lpwstr>8B683985291B4325A7E1D6B80137FEE0_13</vt:lpwstr>
  </property>
</Properties>
</file>